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doc" ContentType="application/msword"/>
  <Override PartName="/word/embeddings/oleObject2.doc" ContentType="application/msword"/>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40" w:lineRule="exact"/>
        <w:jc w:val="center"/>
        <w:rPr>
          <w:rFonts w:ascii="Times New Roman" w:eastAsia="华文中宋" w:hAnsi="Times New Roman" w:cs="Times New Roman" w:hint="default"/>
          <w:b/>
          <w:kern w:val="0"/>
          <w:sz w:val="52"/>
          <w:szCs w:val="52"/>
        </w:rPr>
      </w:pPr>
      <w:bookmarkStart w:id="0" w:name="_GoBack"/>
      <w:bookmarkEnd w:id="0"/>
      <w:r>
        <w:rPr>
          <w:rFonts w:eastAsia="宋体" w:hint="eastAsia"/>
          <w:lang w:eastAsia="zh-C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0.85pt;height:12.25pt" o:oleicon="f" o:ole="" coordsize="21600,21600" o:preferrelative="t" filled="f" stroked="f">
            <v:imagedata r:id="rId3" o:title=""/>
            <o:lock v:ext="edit" aspectratio="t"/>
            <w10:anchorlock/>
          </v:shape>
          <o:OLEObject Type="Embed" ProgID="Word.Document.8" ShapeID="_x0000_i1025" DrawAspect="Content" ObjectID="_1468075725" r:id="rId4"/>
        </w:object>
      </w: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val="en-US" w:eastAsia="zh-CN"/>
        </w:rPr>
        <w:t xml:space="preserve">2024年彩票公益金</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2024年彩票公益金项目</w:t>
      </w:r>
    </w:p>
    <w:p>
      <w:pPr>
        <w:spacing w:line="700" w:lineRule="exact"/>
        <w:ind w:left="2876" w:hanging="1440" w:leftChars="684" w:hanging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实施单位（公章）：</w:t>
      </w:r>
      <w:r>
        <w:rPr>
          <w:rFonts w:eastAsia="仿宋_GB2312" w:cs="Times New Roman" w:hint="eastAsia"/>
          <w:kern w:val="0"/>
          <w:sz w:val="36"/>
          <w:szCs w:val="36"/>
          <w:lang w:val="en-US" w:eastAsia="zh-CN"/>
        </w:rPr>
        <w:t xml:space="preserve">裕民县文化广播电视和旅游局</w:t>
      </w:r>
    </w:p>
    <w:p>
      <w:pPr>
        <w:spacing w:line="700" w:lineRule="exact"/>
        <w:ind w:left="2876" w:hanging="1440" w:leftChars="684" w:hangingChars="400"/>
        <w:jc w:val="left"/>
        <w:rPr>
          <w:rFonts w:eastAsia="仿宋_GB2312"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主管部门（公</w:t>
      </w:r>
      <w:r>
        <w:rPr>
          <w:rFonts w:ascii="Times New Roman" w:eastAsia="仿宋_GB2312" w:hAnsi="Times New Roman" w:cs="Times New Roman" w:hint="default"/>
          <w:kern w:val="0"/>
          <w:sz w:val="36"/>
          <w:szCs w:val="36"/>
        </w:rPr>
        <w:pict>
          <v:shape id="图片 1" o:spid="_x0000_s1026" type="#_x0000_t75" alt="电子印章" style="width:184.9pt;height:166.9pt;margin-top:-138.9pt;margin-left:179.8pt;mso-height-relative:page;mso-width-relative:page;position:absolute;z-index:-251658240" coordsize="21600,21600" o:preferrelative="t" filled="f" stroked="f">
            <v:imagedata r:id="rId5" o:title="电子印章"/>
            <o:lock v:ext="edit" aspectratio="t"/>
          </v:shape>
        </w:pict>
      </w:r>
      <w:r>
        <w:rPr>
          <w:rFonts w:ascii="Times New Roman" w:eastAsia="仿宋_GB2312" w:hAnsi="Times New Roman" w:cs="Times New Roman" w:hint="default"/>
          <w:kern w:val="0"/>
          <w:sz w:val="36"/>
          <w:szCs w:val="36"/>
        </w:rPr>
        <w:t xml:space="preserve">章）：</w:t>
      </w:r>
      <w:r>
        <w:rPr>
          <w:rFonts w:eastAsia="仿宋_GB2312" w:cs="Times New Roman" w:hint="eastAsia"/>
          <w:kern w:val="0"/>
          <w:sz w:val="36"/>
          <w:szCs w:val="36"/>
          <w:lang w:val="en-US" w:eastAsia="zh-CN"/>
        </w:rPr>
        <w:t xml:space="preserve">裕民县文化广播电视和旅游局</w:t>
      </w:r>
    </w:p>
    <w:p>
      <w:pPr>
        <w:spacing w:line="700" w:lineRule="exact"/>
        <w:ind w:firstLine="1440" w:firstLineChars="400"/>
        <w:jc w:val="left"/>
        <w:rPr>
          <w:rFonts w:eastAsia="仿宋_GB2312"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val="en-US" w:eastAsia="zh-CN"/>
        </w:rPr>
        <w:t xml:space="preserve">王宣杰</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25</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720">
            <w:col w:w="8548" w:space="720"/>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default"/>
          <w:b w:val="0"/>
          <w:bCs w:val="0"/>
          <w:sz w:val="32"/>
          <w:szCs w:val="32"/>
          <w:lang w:val="en-US" w:eastAsia="zh-CN"/>
        </w:rPr>
      </w:pPr>
      <w:r>
        <w:rPr>
          <w:rFonts w:eastAsia="仿宋_GB2312" w:cs="Times New Roman" w:hint="eastAsia"/>
          <w:b w:val="0"/>
          <w:bCs w:val="0"/>
          <w:sz w:val="32"/>
          <w:szCs w:val="32"/>
          <w:lang w:val="en-US" w:eastAsia="zh-CN"/>
        </w:rPr>
        <w:t xml:space="preserve"> 项目主要用于完善体育基础设施建设，开展形式多样的体育活动，丰富群众的业余文化生活</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00" w:firstLineChars="200"/>
        <w:rPr>
          <w:rFonts w:ascii="Times New Roman" w:eastAsia="黑体" w:hAnsi="Times New Roman" w:cs="Times New Roman" w:hint="default"/>
          <w:highlight w:val="yellow"/>
          <w:lang w:eastAsia="zh-CN"/>
        </w:rPr>
      </w:pPr>
      <w:r>
        <w:rPr>
          <w:rFonts w:ascii="Times New Roman" w:eastAsia="仿宋_GB2312" w:hAnsi="Times New Roman" w:cs="Times New Roman" w:hint="default"/>
          <w:sz w:val="30"/>
          <w:szCs w:val="30"/>
          <w:highlight w:val="none"/>
          <w:lang w:val="en-US" w:eastAsia="zh-CN"/>
        </w:rPr>
        <w:t xml:space="preserve">项目主要内容：</w:t>
      </w:r>
      <w:r>
        <w:rPr>
          <w:rFonts w:eastAsia="仿宋_GB2312" w:cs="Times New Roman" w:hint="eastAsia"/>
          <w:sz w:val="30"/>
          <w:szCs w:val="30"/>
          <w:highlight w:val="none"/>
          <w:lang w:val="en-US" w:eastAsia="zh-CN"/>
        </w:rPr>
        <w:t xml:space="preserve">新建门球场一座，智能足球场，提升灯光篮球场，开展丰富多彩的体育活动。</w:t>
      </w:r>
    </w:p>
    <w:p>
      <w:pPr>
        <w:spacing w:line="560" w:lineRule="exact"/>
        <w:ind w:firstLine="640" w:firstLineChars="200"/>
        <w:rPr>
          <w:rFonts w:ascii="Times New Roman" w:hAnsi="Times New Roman" w:cs="Times New Roman" w:hint="default"/>
        </w:rPr>
      </w:pPr>
      <w:r>
        <w:rPr>
          <w:rFonts w:ascii="Times New Roman" w:eastAsia="仿宋_GB2312" w:hAnsi="Times New Roman" w:cs="Times New Roman" w:hint="default"/>
          <w:sz w:val="32"/>
          <w:szCs w:val="32"/>
        </w:rPr>
        <w:t xml:space="preserve">项目实施情况：</w:t>
      </w:r>
      <w:r>
        <w:rPr>
          <w:rFonts w:eastAsia="仿宋_GB2312" w:cs="Times New Roman" w:hint="eastAsia"/>
          <w:sz w:val="32"/>
          <w:szCs w:val="32"/>
          <w:lang w:val="en-US" w:eastAsia="zh-CN"/>
        </w:rPr>
        <w:t xml:space="preserve">开展滑冰项目活动，新建小型体育公园1座，开展“奔跑吧·少年”校园足球联赛，三大球比赛，钓鱼比赛，雪地足球比赛。</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33.82</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298.23</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eastAsia="仿宋_GB2312" w:cs="Times New Roman" w:hint="eastAsia"/>
          <w:sz w:val="32"/>
          <w:szCs w:val="32"/>
          <w:highlight w:val="none"/>
          <w:lang w:val="en-US" w:eastAsia="zh-CN"/>
        </w:rPr>
        <w:t xml:space="preserve">财政拨款资金</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33.82</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298.23</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全年执行数</w:t>
      </w:r>
      <w:r>
        <w:rPr>
          <w:rFonts w:eastAsia="仿宋_GB2312" w:cs="Times New Roman" w:hint="eastAsia"/>
          <w:sz w:val="32"/>
          <w:szCs w:val="32"/>
          <w:highlight w:val="none"/>
          <w:lang w:val="en-US" w:eastAsia="zh-CN"/>
        </w:rPr>
        <w:t xml:space="preserve">227.85</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76.4</w:t>
      </w:r>
      <w:r>
        <w:rPr>
          <w:rFonts w:ascii="Times New Roman" w:eastAsia="仿宋_GB2312" w:hAnsi="Times New Roman" w:cs="Times New Roman" w:hint="default"/>
          <w:sz w:val="32"/>
          <w:szCs w:val="32"/>
          <w:highlight w:val="none"/>
          <w:lang w:val="en-US" w:eastAsia="zh-CN"/>
        </w:rPr>
        <w:t xml:space="preserve">%，主要用于：</w:t>
      </w:r>
      <w:r>
        <w:rPr>
          <w:rFonts w:eastAsia="仿宋_GB2312" w:cs="Times New Roman" w:hint="eastAsia"/>
          <w:sz w:val="32"/>
          <w:szCs w:val="32"/>
          <w:highlight w:val="none"/>
          <w:lang w:val="en-US" w:eastAsia="zh-CN"/>
        </w:rPr>
        <w:t xml:space="preserve">开展滑冰项目活动，新建小型体育公园1座，开展“奔跑吧·少年”校园足球联赛，三大球比赛，钓鱼比赛，雪地足球比</w:t>
      </w:r>
      <w:r>
        <w:rPr>
          <w:rFonts w:eastAsia="仿宋_GB2312" w:cs="Times New Roman" w:hint="eastAsia"/>
          <w:sz w:val="32"/>
          <w:szCs w:val="32"/>
          <w:lang w:val="en-US" w:eastAsia="zh-CN"/>
        </w:rPr>
        <w:t xml:space="preserve">赛</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hd w:val="clear" w:color="auto" w:fill="auto"/>
        <w:spacing w:line="600" w:lineRule="exact"/>
        <w:ind w:firstLine="640" w:firstLineChars="200"/>
        <w:outlineLvl w:val="0"/>
        <w:rPr>
          <w:rStyle w:val="Strong"/>
          <w:rFonts w:ascii="Times New Roman" w:eastAsia="黑体" w:hAnsi="Times New Roman" w:cs="Times New Roman" w:hint="default"/>
          <w:b w:val="0"/>
          <w:bCs/>
          <w:spacing w:val="-4"/>
          <w:sz w:val="32"/>
          <w:szCs w:val="32"/>
          <w:highlight w:val="yellow"/>
        </w:rPr>
      </w:pPr>
      <w:r>
        <w:rPr>
          <w:rFonts w:ascii="Times New Roman" w:eastAsia="仿宋_GB2312" w:hAnsi="Times New Roman" w:cs="Times New Roman" w:hint="default"/>
          <w:sz w:val="32"/>
          <w:szCs w:val="32"/>
          <w:highlight w:val="none"/>
          <w:lang w:val="en-US" w:eastAsia="zh-CN"/>
        </w:rPr>
        <w:t xml:space="preserve">2024年彩票公益金项目(结转资金）主要用于开展滑冰项目3场次、新建多功能场地1处。通过项目 实施，进一步加快了我县综合文化服务中心的建设，促进服务群众能力进一步的增强。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p>
      <w:pPr>
        <w:numPr>
          <w:ilvl w:val="0"/>
          <w:numId w:val="4"/>
        </w:num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numPr>
          <w:ilvl w:val="0"/>
          <w:numId w:val="0"/>
        </w:numPr>
        <w:spacing w:line="560" w:lineRule="exact"/>
        <w:rPr>
          <w:rFonts w:ascii="Times New Roman" w:eastAsia="仿宋_GB2312" w:hAnsi="Times New Roman" w:cs="Times New Roman" w:hint="default"/>
          <w:sz w:val="32"/>
          <w:szCs w:val="32"/>
          <w:lang w:val="en-US" w:eastAsia="zh-CN"/>
        </w:rPr>
      </w:pPr>
      <w:r>
        <w:rPr>
          <w:rFonts w:eastAsia="仿宋_GB2312" w:cs="Times New Roman" w:hint="eastAsia"/>
          <w:sz w:val="32"/>
          <w:szCs w:val="32"/>
          <w:lang w:val="en-US" w:eastAsia="zh-CN"/>
        </w:rPr>
        <w:t xml:space="preserve">    年初完成青少年滑冰项目，丰富青少年在假期中的业余文化生活，在气候条件允许后进行小型体育公园建设，开展各类体育活动。</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w:t>
      </w:r>
      <w:r>
        <w:rPr>
          <w:rFonts w:eastAsia="仿宋_GB2312" w:cs="Times New Roman" w:hint="eastAsia"/>
          <w:sz w:val="32"/>
          <w:szCs w:val="32"/>
          <w:highlight w:val="none"/>
          <w:lang w:val="en-US" w:eastAsia="zh-CN"/>
        </w:rPr>
        <w:t xml:space="preserve">可持续发展效益</w:t>
      </w:r>
      <w:r>
        <w:rPr>
          <w:rFonts w:ascii="Times New Roman" w:eastAsia="仿宋_GB2312" w:hAnsi="Times New Roman" w:cs="Times New Roman" w:hint="default"/>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2024年彩票公益金项目（结转资金）</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裕民县文化广播电视和旅游局</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eastAsia"/>
          <w:b w:val="0"/>
          <w:bCs w:val="0"/>
          <w:highlight w:val="none"/>
          <w:lang w:val="en-US" w:eastAsia="zh-CN"/>
        </w:rPr>
        <w:t xml:space="preserve">完善体育基础设施建设、开展形式多样的体育活动</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2024年12月25日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298.23</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可持续</w:t>
      </w:r>
      <w:r>
        <w:rPr>
          <w:rFonts w:ascii="Times New Roman" w:eastAsia="仿宋_GB2312" w:hAnsi="Times New Roman" w:cs="Times New Roman" w:hint="default"/>
          <w:b w:val="0"/>
          <w:bCs w:val="0"/>
          <w:highlight w:val="none"/>
          <w:lang w:val="en-US" w:eastAsia="zh-CN"/>
        </w:rPr>
        <w:t xml:space="preserve">等</w:t>
      </w:r>
      <w:r>
        <w:rPr>
          <w:rFonts w:ascii="Times New Roman" w:eastAsia="仿宋_GB2312" w:hAnsi="Times New Roman" w:cs="Times New Roman" w:hint="default"/>
          <w:b w:val="0"/>
          <w:bCs w:val="0"/>
          <w:highlight w:val="none"/>
        </w:rPr>
        <w:t xml:space="preserve">影响：考察项目对社会</w:t>
      </w:r>
      <w:r>
        <w:rPr>
          <w:rFonts w:ascii="Times New Roman" w:eastAsia="仿宋_GB2312" w:hAnsi="Times New Roman" w:cs="Times New Roman" w:hint="eastAsia"/>
          <w:b w:val="0"/>
          <w:bCs w:val="0"/>
          <w:highlight w:val="none"/>
          <w:lang w:val="en-US" w:eastAsia="zh-CN"/>
        </w:rPr>
        <w:t xml:space="preserve">各方面的</w:t>
      </w:r>
      <w:r>
        <w:rPr>
          <w:rFonts w:ascii="Times New Roman" w:eastAsia="仿宋_GB2312" w:hAnsi="Times New Roman" w:cs="Times New Roman" w:hint="default"/>
          <w:b w:val="0"/>
          <w:bCs w:val="0"/>
          <w:highlight w:val="none"/>
        </w:rPr>
        <w:t xml:space="preserve">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一</w:t>
      </w:r>
      <w:r>
        <w:rPr>
          <w:rFonts w:ascii="Times New Roman" w:eastAsia="仿宋_GB2312" w:hAnsi="Times New Roman" w:cs="Times New Roman" w:hint="default"/>
          <w:color w:val="000000"/>
          <w:spacing w:val="17"/>
          <w:sz w:val="32"/>
          <w:szCs w:val="32"/>
          <w:highlight w:val="none"/>
        </w:rPr>
        <w:t xml:space="preserve">）比较法。是指将实施情况与绩效目标、历史情况、不同部门和地区同类支出情况进行比较的方法。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二</w:t>
      </w:r>
      <w:r>
        <w:rPr>
          <w:rFonts w:ascii="Times New Roman" w:eastAsia="仿宋_GB2312" w:hAnsi="Times New Roman" w:cs="Times New Roman" w:hint="default"/>
          <w:color w:val="000000"/>
          <w:spacing w:val="17"/>
          <w:sz w:val="32"/>
          <w:szCs w:val="32"/>
          <w:highlight w:val="none"/>
        </w:rPr>
        <w:t xml:space="preserve">）因素分析法。是指综合分析影响绩效目标实现、实施效果的内外部因素的方法。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lang w:val="en-US" w:eastAsia="zh-CN"/>
        </w:rPr>
        <w:t xml:space="preserve">行业</w:t>
      </w:r>
      <w:r>
        <w:rPr>
          <w:rFonts w:ascii="Times New Roman" w:eastAsia="仿宋_GB2312" w:hAnsi="Times New Roman" w:cs="Times New Roman" w:hint="default"/>
          <w:b w:val="0"/>
          <w:bCs w:val="0"/>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eastAsia"/>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7"/>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eastAsia="仿宋_GB2312" w:cs="Times New Roman" w:hint="eastAsia"/>
          <w:sz w:val="32"/>
          <w:szCs w:val="32"/>
          <w:highlight w:val="none"/>
          <w:lang w:val="en-US" w:eastAsia="zh-CN"/>
        </w:rPr>
        <w:t xml:space="preserve">2024年彩票公益金项目（结转资金）</w:t>
      </w:r>
      <w:r>
        <w:rPr>
          <w:rFonts w:ascii="Times New Roman" w:eastAsia="仿宋_GB2312" w:hAnsi="Times New Roman" w:cs="Times New Roman" w:hint="default"/>
          <w:sz w:val="32"/>
          <w:szCs w:val="32"/>
          <w:highlight w:val="none"/>
        </w:rPr>
        <w:t xml:space="preserve">在</w:t>
      </w:r>
      <w:r>
        <w:rPr>
          <w:rFonts w:eastAsia="仿宋_GB2312" w:cs="Times New Roman" w:hint="eastAsia"/>
          <w:sz w:val="32"/>
          <w:szCs w:val="32"/>
          <w:highlight w:val="none"/>
          <w:lang w:val="en-US" w:eastAsia="zh-CN"/>
        </w:rPr>
        <w:t xml:space="preserve">丰富群众业余文化生活、完善体育场地建设</w:t>
      </w:r>
      <w:r>
        <w:rPr>
          <w:rFonts w:ascii="Times New Roman" w:eastAsia="仿宋_GB2312" w:hAnsi="Times New Roman" w:cs="Times New Roman" w:hint="default"/>
          <w:sz w:val="32"/>
          <w:szCs w:val="32"/>
          <w:highlight w:val="none"/>
        </w:rPr>
        <w:t xml:space="preserve">等方面表现出色，达到了预期的标准与要求。同时，项目也在</w:t>
      </w:r>
      <w:r>
        <w:rPr>
          <w:rFonts w:eastAsia="仿宋_GB2312" w:cs="Times New Roman" w:hint="eastAsia"/>
          <w:color w:val="auto"/>
          <w:sz w:val="32"/>
          <w:szCs w:val="32"/>
          <w:highlight w:val="none"/>
          <w:lang w:val="en-US" w:eastAsia="zh-CN"/>
        </w:rPr>
        <w:t xml:space="preserve">优化体育环境方面</w:t>
      </w:r>
      <w:r>
        <w:rPr>
          <w:rFonts w:ascii="Times New Roman" w:eastAsia="仿宋_GB2312" w:hAnsi="Times New Roman" w:cs="Times New Roman" w:hint="default"/>
          <w:sz w:val="32"/>
          <w:szCs w:val="32"/>
          <w:highlight w:val="none"/>
        </w:rPr>
        <w:t xml:space="preserve">取得了显著的成效</w:t>
      </w:r>
      <w:r>
        <w:rPr>
          <w:rFonts w:eastAsia="仿宋_GB2312" w:cs="Times New Roman" w:hint="eastAsia"/>
          <w:sz w:val="32"/>
          <w:szCs w:val="32"/>
          <w:highlight w:val="none"/>
          <w:lang w:eastAsia="zh-CN"/>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eastAsia="仿宋_GB2312" w:cs="Times New Roman" w:hint="eastAsia"/>
          <w:sz w:val="32"/>
          <w:szCs w:val="32"/>
          <w:highlight w:val="none"/>
          <w:lang w:val="en-US" w:eastAsia="zh-CN"/>
        </w:rPr>
        <w:t xml:space="preserve">裕民县文化广播电视和旅游局</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从项目效益的角度来看，本项目不仅实现了预期的社会效益等方面产生了积极的影响。具体而言，</w:t>
      </w:r>
      <w:r>
        <w:rPr>
          <w:rFonts w:eastAsia="仿宋_GB2312" w:cs="Times New Roman" w:hint="eastAsia"/>
          <w:sz w:val="32"/>
          <w:szCs w:val="32"/>
          <w:highlight w:val="none"/>
          <w:lang w:val="en-US" w:eastAsia="zh-CN"/>
        </w:rPr>
        <w:t xml:space="preserve">在完善基层体育场地建设</w:t>
      </w:r>
      <w:r>
        <w:rPr>
          <w:rFonts w:ascii="Times New Roman" w:eastAsia="仿宋_GB2312" w:hAnsi="Times New Roman" w:cs="Times New Roman" w:hint="default"/>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综上所述，</w:t>
      </w:r>
      <w:r>
        <w:rPr>
          <w:rFonts w:eastAsia="仿宋_GB2312" w:cs="Times New Roman" w:hint="eastAsia"/>
          <w:sz w:val="32"/>
          <w:szCs w:val="32"/>
          <w:highlight w:val="none"/>
          <w:lang w:val="en-US" w:eastAsia="zh-CN"/>
        </w:rPr>
        <w:t xml:space="preserve">2024年彩票公益金项目（结转资金）</w:t>
      </w:r>
      <w:r>
        <w:rPr>
          <w:rFonts w:ascii="Times New Roman" w:eastAsia="仿宋_GB2312" w:hAnsi="Times New Roman" w:cs="Times New Roman" w:hint="default"/>
          <w:sz w:val="32"/>
          <w:szCs w:val="32"/>
          <w:highlight w:val="none"/>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w:t>
      </w:r>
      <w:r>
        <w:rPr>
          <w:rFonts w:ascii="Times New Roman" w:eastAsia="仿宋_GB2312" w:hAnsi="Times New Roman" w:cs="Times New Roman" w:hint="default"/>
          <w:b w:val="0"/>
          <w:bCs w:val="0"/>
          <w:highlight w:val="none"/>
        </w:rPr>
        <w:t xml:space="preserve">，最终评分结果：总得</w:t>
      </w:r>
      <w:r>
        <w:rPr>
          <w:rFonts w:ascii="Times New Roman" w:eastAsia="仿宋_GB2312" w:hAnsi="Times New Roman" w:cs="Times New Roman" w:hint="default"/>
          <w:b w:val="0"/>
          <w:bCs w:val="0"/>
          <w:highlight w:val="yellow"/>
        </w:rPr>
        <w:t xml:space="preserve">分为</w:t>
      </w:r>
      <w:r>
        <w:rPr>
          <w:rFonts w:ascii="Times New Roman" w:eastAsia="仿宋_GB2312" w:hAnsi="Times New Roman" w:cs="Times New Roman" w:hint="eastAsia"/>
          <w:b w:val="0"/>
          <w:bCs w:val="0"/>
          <w:highlight w:val="yellow"/>
          <w:lang w:val="en-US" w:eastAsia="zh-CN"/>
        </w:rPr>
        <w:t xml:space="preserve">97</w:t>
      </w:r>
      <w:r>
        <w:rPr>
          <w:rFonts w:ascii="Times New Roman" w:eastAsia="仿宋_GB2312" w:hAnsi="Times New Roman" w:cs="Times New Roman" w:hint="default"/>
          <w:b w:val="0"/>
          <w:bCs w:val="0"/>
          <w:highlight w:val="yellow"/>
        </w:rPr>
        <w:t xml:space="preserve">分，属</w:t>
      </w:r>
      <w:r>
        <w:rPr>
          <w:rFonts w:ascii="Times New Roman" w:eastAsia="仿宋_GB2312" w:hAnsi="Times New Roman" w:cs="Times New Roman" w:hint="default"/>
          <w:b w:val="0"/>
          <w:bCs w:val="0"/>
          <w:highlight w:val="none"/>
        </w:rPr>
        <w:t xml:space="preserve">于“优（良/中/差）”。其中，项目决策类指标权重为20分，得分为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19</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18</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0" w:type="auto"/>
        <w:jc w:val="center"/>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0" w:type="auto"/>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19</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95%</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38</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95%</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97</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rPr>
            </w:pP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w:t>
      </w:r>
      <w:r>
        <w:rPr>
          <w:rFonts w:ascii="Times New Roman" w:eastAsia="仿宋_GB2312" w:hAnsi="Times New Roman" w:cs="Times New Roman" w:hint="default"/>
          <w:sz w:val="32"/>
          <w:szCs w:val="32"/>
          <w:highlight w:val="none"/>
          <w:lang w:val="en-US" w:eastAsia="zh-CN"/>
        </w:rPr>
        <w:t xml:space="preserve">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298.23</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227.85</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76.4</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重视制度执行的重要性，通过明确责任分工、制定详细执</w:t>
      </w:r>
      <w:r>
        <w:rPr>
          <w:rFonts w:ascii="Times New Roman" w:eastAsia="仿宋_GB2312" w:hAnsi="Times New Roman" w:cs="Times New Roman" w:hint="default"/>
          <w:sz w:val="32"/>
          <w:szCs w:val="32"/>
          <w:lang w:eastAsia="zh-CN"/>
        </w:rPr>
        <w:t xml:space="preserve">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w:t>
      </w:r>
      <w:r>
        <w:rPr>
          <w:rFonts w:ascii="Times New Roman" w:eastAsia="仿宋_GB2312" w:hAnsi="Times New Roman" w:cs="Times New Roman" w:hint="default"/>
          <w:sz w:val="32"/>
          <w:szCs w:val="32"/>
          <w:highlight w:val="none"/>
          <w:lang w:val="en-US" w:eastAsia="zh-CN"/>
        </w:rPr>
        <w:t xml:space="preserve">出成本四方面的内容，由</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37.6</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94</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开展滑冰项目次数，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3场次</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3场次，</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新建多功能场地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1处</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1处</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项目建设合格率，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资金支付及时率，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 </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办公活动经费，</w:t>
      </w:r>
      <w:r>
        <w:rPr>
          <w:rFonts w:ascii="Times New Roman" w:eastAsia="仿宋_GB2312" w:hAnsi="Times New Roman" w:cs="Times New Roman" w:hint="default"/>
          <w:sz w:val="32"/>
          <w:szCs w:val="32"/>
          <w:highlight w:val="none"/>
        </w:rPr>
        <w:t xml:space="preserve">指标值：</w:t>
      </w:r>
      <w:r>
        <w:rPr>
          <w:rFonts w:ascii="Arial" w:eastAsia="仿宋_GB2312" w:hAnsi="Arial" w:cs="Arial"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48万元</w:t>
      </w:r>
      <w:r>
        <w:rPr>
          <w:rFonts w:ascii="Times New Roman" w:eastAsia="仿宋_GB2312" w:hAnsi="Times New Roman" w:cs="Times New Roman" w:hint="default"/>
          <w:sz w:val="32"/>
          <w:szCs w:val="32"/>
          <w:highlight w:val="none"/>
        </w:rPr>
        <w:t xml:space="preserve"> ，实际完成值：   </w:t>
      </w:r>
      <w:r>
        <w:rPr>
          <w:rFonts w:eastAsia="仿宋_GB2312" w:cs="Times New Roman" w:hint="eastAsia"/>
          <w:sz w:val="32"/>
          <w:szCs w:val="32"/>
          <w:highlight w:val="none"/>
          <w:lang w:val="en-US" w:eastAsia="zh-CN"/>
        </w:rPr>
        <w:t xml:space="preserve">48万元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 </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其他体育项目投入，</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50.23万元</w:t>
      </w:r>
      <w:r>
        <w:rPr>
          <w:rFonts w:ascii="Times New Roman" w:eastAsia="仿宋_GB2312" w:hAnsi="Times New Roman" w:cs="Times New Roman" w:hint="default"/>
          <w:sz w:val="32"/>
          <w:szCs w:val="32"/>
          <w:highlight w:val="none"/>
        </w:rPr>
        <w:t xml:space="preserve"> ，实际完成值：</w:t>
      </w:r>
      <w:r>
        <w:rPr>
          <w:rFonts w:ascii="Times New Roman" w:eastAsia="仿宋_GB2312" w:hAnsi="Times New Roman" w:cs="Times New Roman" w:hint="eastAsia"/>
          <w:sz w:val="32"/>
          <w:szCs w:val="32"/>
          <w:highlight w:val="none"/>
          <w:lang w:val="en-US" w:eastAsia="zh-CN"/>
        </w:rPr>
        <w:t xml:space="preserve">26.95万元</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53.65</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项目正在评审中</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改进措施：待评审结束后进行资金支付</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小型体育公园建设，</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200万元</w:t>
      </w:r>
      <w:r>
        <w:rPr>
          <w:rFonts w:ascii="Times New Roman" w:eastAsia="仿宋_GB2312" w:hAnsi="Times New Roman" w:cs="Times New Roman" w:hint="default"/>
          <w:sz w:val="32"/>
          <w:szCs w:val="32"/>
          <w:highlight w:val="none"/>
        </w:rPr>
        <w:t xml:space="preserve"> ，实际完成值：</w:t>
      </w:r>
      <w:r>
        <w:rPr>
          <w:rFonts w:ascii="Times New Roman" w:eastAsia="仿宋_GB2312" w:hAnsi="Times New Roman" w:cs="Times New Roman" w:hint="eastAsia"/>
          <w:sz w:val="32"/>
          <w:szCs w:val="32"/>
          <w:highlight w:val="none"/>
          <w:lang w:val="en-US" w:eastAsia="zh-CN"/>
        </w:rPr>
        <w:t xml:space="preserve">152.9万元</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76.5</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项目正在评审中</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改进措施：待评审结束后进行资金支付</w:t>
      </w:r>
      <w:r>
        <w:rPr>
          <w:rFonts w:ascii="Times New Roman" w:eastAsia="仿宋_GB2312" w:hAnsi="Times New Roman" w:cs="Times New Roman" w:hint="default"/>
          <w:sz w:val="32"/>
          <w:szCs w:val="32"/>
          <w:highlight w:val="none"/>
          <w:lang w:eastAsia="zh-CN"/>
        </w:rPr>
        <w:t xml:space="preserve">。</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项目效益类指标</w:t>
      </w:r>
      <w:r>
        <w:rPr>
          <w:rFonts w:ascii="Times New Roman" w:eastAsia="仿宋_GB2312" w:hAnsi="Times New Roman" w:cs="Times New Roman" w:hint="default"/>
          <w:sz w:val="32"/>
          <w:szCs w:val="32"/>
          <w:highlight w:val="none"/>
          <w:lang w:val="en-US" w:eastAsia="zh-CN"/>
        </w:rPr>
        <w:t xml:space="preserve">包括项目实施效益和满意度两方面的内容，由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14</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70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ilvl w:val="0"/>
          <w:numId w:val="3"/>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完善基层体育场地建设，</w:t>
      </w:r>
      <w:r>
        <w:rPr>
          <w:rFonts w:ascii="Times New Roman" w:eastAsia="仿宋_GB2312" w:hAnsi="Times New Roman" w:cs="Times New Roman" w:hint="default"/>
          <w:sz w:val="32"/>
          <w:szCs w:val="32"/>
          <w:highlight w:val="none"/>
        </w:rPr>
        <w:t xml:space="preserve">指标值：</w:t>
      </w:r>
      <w:r>
        <w:rPr>
          <w:rFonts w:ascii="Arial" w:eastAsia="仿宋_GB2312" w:hAnsi="Arial" w:cs="Arial" w:hint="eastAsia"/>
          <w:sz w:val="32"/>
          <w:szCs w:val="32"/>
          <w:highlight w:val="none"/>
          <w:lang w:val="en-US" w:eastAsia="zh-CN"/>
        </w:rPr>
        <w:t xml:space="preserve">有所完善</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有所完善</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70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项目是在冬季完成，尚未正式投入使用</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改进措施：待正式投入使用后达到效益指标</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yellow"/>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群众满意度，</w:t>
      </w:r>
      <w:r>
        <w:rPr>
          <w:rFonts w:ascii="Times New Roman" w:eastAsia="仿宋_GB2312" w:hAnsi="Times New Roman" w:cs="Times New Roman" w:hint="default"/>
          <w:sz w:val="32"/>
          <w:szCs w:val="32"/>
          <w:highlight w:val="none"/>
        </w:rPr>
        <w:t xml:space="preserve">指标值：</w:t>
      </w:r>
      <w:r>
        <w:rPr>
          <w:rFonts w:ascii="Arial" w:eastAsia="仿宋_GB2312" w:hAnsi="Arial" w:cs="Arial" w:hint="default"/>
          <w:sz w:val="32"/>
          <w:szCs w:val="32"/>
          <w:highlight w:val="none"/>
          <w:lang w:val="en-US" w:eastAsia="zh-CN"/>
        </w:rPr>
        <w:t xml:space="preserve">≥</w:t>
      </w:r>
      <w:r>
        <w:rPr>
          <w:rFonts w:ascii="Arial" w:eastAsia="仿宋_GB2312" w:hAnsi="Arial" w:cs="Arial"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 </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firstLine="640"/>
        <w:rPr>
          <w:rFonts w:ascii="Times New Roman" w:eastAsia="仿宋_GB2312" w:hAnsi="Times New Roman" w:cs="Times New Roman" w:hint="default"/>
          <w:kern w:val="2"/>
          <w:sz w:val="32"/>
          <w:szCs w:val="32"/>
          <w:lang w:val="en-US" w:eastAsia="zh-CN" w:bidi="ar-SA"/>
        </w:rPr>
      </w:pPr>
      <w:r>
        <w:rPr>
          <w:rFonts w:ascii="Times New Roman" w:eastAsia="仿宋_GB2312" w:hAnsi="Times New Roman" w:cs="Times New Roman" w:hint="eastAsia"/>
          <w:kern w:val="2"/>
          <w:sz w:val="32"/>
          <w:szCs w:val="32"/>
          <w:lang w:val="en-US" w:eastAsia="zh-CN" w:bidi="ar-SA"/>
        </w:rPr>
        <w:t xml:space="preserve">2024年彩票公益金</w:t>
      </w:r>
      <w:r>
        <w:rPr>
          <w:rFonts w:ascii="Times New Roman" w:eastAsia="仿宋_GB2312" w:hAnsi="Times New Roman" w:cs="Times New Roman" w:hint="default"/>
          <w:kern w:val="2"/>
          <w:sz w:val="32"/>
          <w:szCs w:val="32"/>
          <w:lang w:val="en-US" w:eastAsia="zh-CN" w:bidi="ar-SA"/>
        </w:rPr>
        <w:t xml:space="preserve">项目年初预算</w:t>
      </w:r>
      <w:r>
        <w:rPr>
          <w:rFonts w:ascii="Times New Roman" w:eastAsia="仿宋_GB2312" w:hAnsi="Times New Roman" w:cs="Times New Roman" w:hint="eastAsia"/>
          <w:kern w:val="2"/>
          <w:sz w:val="32"/>
          <w:szCs w:val="32"/>
          <w:lang w:val="en-US" w:eastAsia="zh-CN" w:bidi="ar-SA"/>
        </w:rPr>
        <w:t xml:space="preserve">33.82</w:t>
      </w:r>
      <w:r>
        <w:rPr>
          <w:rFonts w:ascii="Times New Roman" w:eastAsia="仿宋_GB2312" w:hAnsi="Times New Roman" w:cs="Times New Roman" w:hint="default"/>
          <w:kern w:val="2"/>
          <w:sz w:val="32"/>
          <w:szCs w:val="32"/>
          <w:lang w:val="en-US" w:eastAsia="zh-CN" w:bidi="ar-SA"/>
        </w:rPr>
        <w:t xml:space="preserve">万元，全年预算</w:t>
      </w:r>
      <w:r>
        <w:rPr>
          <w:rFonts w:ascii="Times New Roman" w:eastAsia="仿宋_GB2312" w:hAnsi="Times New Roman" w:cs="Times New Roman" w:hint="eastAsia"/>
          <w:kern w:val="2"/>
          <w:sz w:val="32"/>
          <w:szCs w:val="32"/>
          <w:lang w:val="en-US" w:eastAsia="zh-CN" w:bidi="ar-SA"/>
        </w:rPr>
        <w:t xml:space="preserve">298.23</w:t>
      </w:r>
      <w:r>
        <w:rPr>
          <w:rFonts w:ascii="Times New Roman" w:eastAsia="仿宋_GB2312" w:hAnsi="Times New Roman" w:cs="Times New Roman" w:hint="default"/>
          <w:kern w:val="2"/>
          <w:sz w:val="32"/>
          <w:szCs w:val="32"/>
          <w:lang w:val="en-US" w:eastAsia="zh-CN" w:bidi="ar-SA"/>
        </w:rPr>
        <w:t xml:space="preserve">万元，实际支出</w:t>
      </w:r>
      <w:r>
        <w:rPr>
          <w:rFonts w:ascii="Times New Roman" w:eastAsia="仿宋_GB2312" w:hAnsi="Times New Roman" w:cs="Times New Roman" w:hint="eastAsia"/>
          <w:kern w:val="2"/>
          <w:sz w:val="32"/>
          <w:szCs w:val="32"/>
          <w:lang w:val="en-US" w:eastAsia="zh-CN" w:bidi="ar-SA"/>
        </w:rPr>
        <w:t xml:space="preserve">227.85</w:t>
      </w:r>
      <w:r>
        <w:rPr>
          <w:rFonts w:ascii="Times New Roman" w:eastAsia="仿宋_GB2312" w:hAnsi="Times New Roman" w:cs="Times New Roman" w:hint="default"/>
          <w:kern w:val="2"/>
          <w:sz w:val="32"/>
          <w:szCs w:val="32"/>
          <w:lang w:val="en-US" w:eastAsia="zh-CN" w:bidi="ar-SA"/>
        </w:rPr>
        <w:t xml:space="preserve">万元，预算执行率为</w:t>
      </w:r>
      <w:r>
        <w:rPr>
          <w:rFonts w:ascii="Times New Roman" w:eastAsia="仿宋_GB2312" w:hAnsi="Times New Roman" w:cs="Times New Roman" w:hint="eastAsia"/>
          <w:kern w:val="2"/>
          <w:sz w:val="32"/>
          <w:szCs w:val="32"/>
          <w:lang w:val="en-US" w:eastAsia="zh-CN" w:bidi="ar-SA"/>
        </w:rPr>
        <w:t xml:space="preserve">76.4</w:t>
      </w:r>
      <w:r>
        <w:rPr>
          <w:rFonts w:ascii="Times New Roman" w:eastAsia="仿宋_GB2312" w:hAnsi="Times New Roman" w:cs="Times New Roman" w:hint="default"/>
          <w:kern w:val="2"/>
          <w:sz w:val="32"/>
          <w:szCs w:val="32"/>
          <w:lang w:val="en-US" w:eastAsia="zh-CN" w:bidi="ar-SA"/>
        </w:rPr>
        <w:t xml:space="preserve">%，项目绩效指标总体为</w:t>
      </w:r>
      <w:r>
        <w:rPr>
          <w:rFonts w:ascii="Times New Roman" w:eastAsia="仿宋_GB2312" w:hAnsi="Times New Roman" w:cs="Times New Roman" w:hint="eastAsia"/>
          <w:kern w:val="2"/>
          <w:sz w:val="32"/>
          <w:szCs w:val="32"/>
          <w:lang w:val="en-US" w:eastAsia="zh-CN" w:bidi="ar-SA"/>
        </w:rPr>
        <w:t xml:space="preserve">80.68</w:t>
      </w:r>
      <w:r>
        <w:rPr>
          <w:rFonts w:ascii="Times New Roman" w:eastAsia="仿宋_GB2312" w:hAnsi="Times New Roman" w:cs="Times New Roman" w:hint="default"/>
          <w:kern w:val="2"/>
          <w:sz w:val="32"/>
          <w:szCs w:val="32"/>
          <w:lang w:val="en-US" w:eastAsia="zh-CN" w:bidi="ar-SA"/>
        </w:rPr>
        <w:t xml:space="preserve">%，</w:t>
      </w:r>
      <w:r>
        <w:rPr>
          <w:rFonts w:ascii="Times New Roman" w:eastAsia="仿宋_GB2312" w:hAnsi="Times New Roman" w:cs="Times New Roman" w:hint="default"/>
          <w:kern w:val="2"/>
          <w:sz w:val="32"/>
          <w:szCs w:val="32"/>
          <w:lang w:val="en-US" w:bidi="ar-SA"/>
        </w:rPr>
        <w:t xml:space="preserve">总体</w:t>
      </w:r>
      <w:r>
        <w:rPr>
          <w:rFonts w:ascii="Times New Roman" w:eastAsia="仿宋_GB2312" w:hAnsi="Times New Roman" w:cs="Times New Roman" w:hint="default"/>
          <w:kern w:val="2"/>
          <w:sz w:val="32"/>
          <w:szCs w:val="32"/>
          <w:lang w:val="en-US" w:eastAsia="zh-CN" w:bidi="ar-SA"/>
        </w:rPr>
        <w:t xml:space="preserve">偏差率为</w:t>
      </w:r>
      <w:r>
        <w:rPr>
          <w:rFonts w:ascii="Times New Roman" w:eastAsia="仿宋_GB2312" w:hAnsi="Times New Roman" w:cs="Times New Roman" w:hint="eastAsia"/>
          <w:kern w:val="2"/>
          <w:sz w:val="32"/>
          <w:szCs w:val="32"/>
          <w:lang w:val="en-US" w:eastAsia="zh-CN" w:bidi="ar-SA"/>
        </w:rPr>
        <w:t xml:space="preserve">4.28</w:t>
      </w:r>
      <w:r>
        <w:rPr>
          <w:rFonts w:ascii="Times New Roman" w:eastAsia="仿宋_GB2312" w:hAnsi="Times New Roman" w:cs="Times New Roman" w:hint="default"/>
          <w:kern w:val="2"/>
          <w:sz w:val="32"/>
          <w:szCs w:val="32"/>
          <w:lang w:val="en-US" w:eastAsia="zh-CN" w:bidi="ar-SA"/>
        </w:rPr>
        <w:t xml:space="preserve">%</w:t>
      </w:r>
      <w:r>
        <w:rPr>
          <w:rFonts w:ascii="Times New Roman" w:eastAsia="仿宋_GB2312" w:hAnsi="Times New Roman" w:cs="Times New Roman" w:hint="eastAsia"/>
          <w:kern w:val="2"/>
          <w:sz w:val="32"/>
          <w:szCs w:val="32"/>
          <w:lang w:val="en-US" w:eastAsia="zh-CN" w:bidi="ar-SA"/>
        </w:rPr>
        <w:t xml:space="preserve">，</w:t>
      </w:r>
      <w:r>
        <w:rPr>
          <w:rFonts w:ascii="Times New Roman" w:eastAsia="仿宋_GB2312" w:hAnsi="Times New Roman" w:cs="Times New Roman" w:hint="default"/>
          <w:kern w:val="2"/>
          <w:sz w:val="32"/>
          <w:szCs w:val="32"/>
          <w:lang w:val="en-US" w:bidi="ar-SA"/>
        </w:rPr>
        <w:t xml:space="preserve">偏差</w:t>
      </w:r>
      <w:r>
        <w:rPr>
          <w:rFonts w:ascii="Times New Roman" w:eastAsia="仿宋_GB2312" w:hAnsi="Times New Roman" w:cs="Times New Roman" w:hint="default"/>
          <w:kern w:val="2"/>
          <w:sz w:val="32"/>
          <w:szCs w:val="32"/>
          <w:lang w:val="en-US" w:eastAsia="zh-CN" w:bidi="ar-SA"/>
        </w:rPr>
        <w:t xml:space="preserve">原因</w:t>
      </w:r>
      <w:r>
        <w:rPr>
          <w:rFonts w:ascii="Times New Roman" w:eastAsia="仿宋_GB2312" w:hAnsi="Times New Roman" w:cs="Times New Roman" w:hint="eastAsia"/>
          <w:kern w:val="2"/>
          <w:sz w:val="32"/>
          <w:szCs w:val="32"/>
          <w:lang w:val="en-US" w:eastAsia="zh-CN" w:bidi="ar-SA"/>
        </w:rPr>
        <w:t xml:space="preserve">项目正在评审中，资金未完全支出</w:t>
      </w:r>
      <w:r>
        <w:rPr>
          <w:rFonts w:ascii="Times New Roman" w:eastAsia="仿宋_GB2312" w:hAnsi="Times New Roman" w:cs="Times New Roman" w:hint="default"/>
          <w:kern w:val="2"/>
          <w:sz w:val="32"/>
          <w:szCs w:val="32"/>
          <w:lang w:val="en-US" w:eastAsia="zh-CN" w:bidi="ar-SA"/>
        </w:rPr>
        <w:t xml:space="preserve">，</w:t>
      </w:r>
      <w:r>
        <w:rPr>
          <w:rFonts w:ascii="Times New Roman" w:eastAsia="仿宋_GB2312" w:hAnsi="Times New Roman" w:cs="Times New Roman" w:hint="default"/>
          <w:kern w:val="2"/>
          <w:sz w:val="32"/>
          <w:szCs w:val="32"/>
          <w:lang w:val="en-US" w:bidi="ar-SA"/>
        </w:rPr>
        <w:t xml:space="preserve">改进</w:t>
      </w:r>
      <w:r>
        <w:rPr>
          <w:rFonts w:ascii="Times New Roman" w:eastAsia="仿宋_GB2312" w:hAnsi="Times New Roman" w:cs="Times New Roman" w:hint="default"/>
          <w:kern w:val="2"/>
          <w:sz w:val="32"/>
          <w:szCs w:val="32"/>
          <w:lang w:val="en-US" w:eastAsia="zh-CN" w:bidi="ar-SA"/>
        </w:rPr>
        <w:t xml:space="preserve">措施</w:t>
      </w:r>
      <w:r>
        <w:rPr>
          <w:rFonts w:ascii="Times New Roman" w:eastAsia="仿宋_GB2312" w:hAnsi="Times New Roman" w:cs="Times New Roman" w:hint="eastAsia"/>
          <w:kern w:val="2"/>
          <w:sz w:val="32"/>
          <w:szCs w:val="32"/>
          <w:lang w:val="en-US" w:eastAsia="zh-CN" w:bidi="ar-SA"/>
        </w:rPr>
        <w:t xml:space="preserve">项目评审结束后进行资金支付。</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sz w:val="32"/>
          <w:szCs w:val="32"/>
          <w:highlight w:val="none"/>
          <w:lang w:val="en-US" w:eastAsia="zh-CN"/>
        </w:rPr>
        <w:t xml:space="preserve">干部</w:t>
      </w:r>
      <w:r>
        <w:rPr>
          <w:rFonts w:ascii="Times New Roman" w:eastAsia="仿宋_GB2312" w:hAnsi="Times New Roman" w:cs="Times New Roman" w:hint="default"/>
          <w:sz w:val="32"/>
          <w:szCs w:val="32"/>
          <w:highlight w:val="none"/>
          <w:lang w:val="en-US" w:eastAsia="zh-CN"/>
        </w:rPr>
        <w:t xml:space="preserve">分人员缺乏相关绩效管理专业知识，自评价工作还存在自我审定的局限性，影响评价质量。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六、</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0" w:leftChars="0" w:firstLineChars="0"/>
        <w:rPr>
          <w:rFonts w:ascii="Times New Roman" w:eastAsia="仿宋_GB2312" w:hAnsi="Times New Roman" w:cs="Times New Roman" w:hint="default"/>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6"/>
          <w:pgSz w:w="11906" w:h="16838" w:orient="portrait"/>
          <w:pgMar w:top="1440" w:right="1558" w:bottom="1440" w:left="1800" w:header="851" w:footer="992" w:gutter="0"/>
          <w:pgBorders/>
          <w:pgNumType w:start="1"/>
          <w:cols w:num="1" w:space="720">
            <w:col w:w="8548" w:space="720"/>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sz w:val="28"/>
          <w:szCs w:val="40"/>
        </w:rPr>
      </w:pPr>
      <w:bookmarkStart w:id="2" w:name="_Toc26499_WPSOffice_Level2"/>
      <w:bookmarkStart w:id="3" w:name="_Toc30064_WPSOffice_Level1"/>
      <w:r>
        <w:rPr>
          <w:rFonts w:ascii="仿宋_GB2312" w:eastAsia="仿宋_GB2312" w:hAnsi="仿宋_GB2312" w:cs="仿宋_GB2312" w:hint="eastAsia"/>
          <w:b/>
          <w:bCs/>
          <w:sz w:val="28"/>
          <w:szCs w:val="40"/>
          <w:highlight w:val="none"/>
          <w:lang w:val="en-US" w:eastAsia="zh-CN"/>
        </w:rPr>
        <w:t xml:space="preserve">2024年彩票公益金项目（结转资金）</w:t>
      </w:r>
      <w:r>
        <w:rPr>
          <w:rFonts w:ascii="仿宋_GB2312" w:eastAsia="仿宋_GB2312" w:hAnsi="仿宋_GB2312" w:cs="仿宋_GB2312" w:hint="eastAsia"/>
          <w:b/>
          <w:bCs/>
          <w:sz w:val="28"/>
          <w:szCs w:val="40"/>
          <w:highlight w:val="none"/>
        </w:rPr>
        <w:t xml:space="preserve">绩效评价</w:t>
      </w:r>
      <w:r>
        <w:rPr>
          <w:rFonts w:ascii="仿宋_GB2312" w:eastAsia="仿宋_GB2312" w:hAnsi="仿宋_GB2312" w:cs="仿宋_GB2312" w:hint="eastAsia"/>
          <w:b/>
          <w:bCs/>
          <w:sz w:val="28"/>
          <w:szCs w:val="40"/>
        </w:rPr>
        <w:t xml:space="preserve">指标体系及综合评分表</w:t>
      </w:r>
      <w:bookmarkEnd w:id="2"/>
      <w:bookmarkEnd w:id="3"/>
    </w:p>
    <w:tbl>
      <w:tblPr>
        <w:tblStyle w:val="NormalTabl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5"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16"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16" w:type="dxa"/>
            <w:shd w:val="clear" w:color="auto"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③项目立项是否与部门职责范围相符，属于部门履职所需；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eastAsia="仿宋_GB2312" w:cs="Times New Roman" w:hint="eastAsia"/>
                <w:b/>
                <w:bCs/>
                <w:color w:val="000000"/>
                <w:kern w:val="0"/>
                <w:sz w:val="18"/>
                <w:szCs w:val="18"/>
                <w:highlight w:val="yellow"/>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16" w:type="dxa"/>
            <w:shd w:val="clear" w:color="auto"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eastAsia="仿宋_GB2312" w:cs="Times New Roman" w:hint="eastAsia"/>
                <w:b/>
                <w:bCs/>
                <w:color w:val="000000"/>
                <w:kern w:val="0"/>
                <w:sz w:val="18"/>
                <w:szCs w:val="18"/>
                <w:highlight w:val="yellow"/>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16" w:type="dxa"/>
            <w:shd w:val="clear" w:color="000000"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eastAsia="仿宋_GB2312" w:cs="Times New Roman" w:hint="eastAsia"/>
                <w:b/>
                <w:bCs/>
                <w:color w:val="000000"/>
                <w:kern w:val="0"/>
                <w:sz w:val="18"/>
                <w:szCs w:val="18"/>
                <w:highlight w:val="yellow"/>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8</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highlight w:val="none"/>
              </w:rPr>
              <w:t xml:space="preserve">产出成本</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　</w:t>
            </w: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5" w:type="dxa"/>
            <w:shd w:val="clear" w:color="auto"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highlight w:val="none"/>
              </w:rPr>
              <w:t xml:space="preserve">满意度</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fldChar w:fldCharType="begin"/>
            </w:r>
            <w:r>
              <w:rPr>
                <w:rFonts w:ascii="Times New Roman" w:eastAsia="仿宋_GB2312" w:hAnsi="Times New Roman" w:cs="Times New Roman" w:hint="default"/>
                <w:b/>
                <w:bCs/>
                <w:color w:val="000000"/>
                <w:kern w:val="0"/>
                <w:sz w:val="18"/>
                <w:szCs w:val="18"/>
              </w:rPr>
              <w:instrText xml:space="preserve"> = sum(F2:F18) \* MERGEFORMAT </w:instrText>
            </w:r>
            <w:r>
              <w:rPr>
                <w:rFonts w:ascii="Times New Roman" w:eastAsia="仿宋_GB2312" w:hAnsi="Times New Roman" w:cs="Times New Roman" w:hint="default"/>
                <w:b/>
                <w:bCs/>
                <w:color w:val="000000"/>
                <w:kern w:val="0"/>
                <w:sz w:val="18"/>
                <w:szCs w:val="18"/>
              </w:rPr>
              <w:fldChar w:fldCharType="separate"/>
            </w:r>
            <w:r>
              <w:rPr>
                <w:rFonts w:ascii="Times New Roman" w:eastAsia="仿宋_GB2312" w:hAnsi="Times New Roman" w:cs="Times New Roman" w:hint="default"/>
                <w:b/>
                <w:bCs/>
                <w:color w:val="000000"/>
                <w:kern w:val="0"/>
                <w:sz w:val="18"/>
                <w:szCs w:val="18"/>
              </w:rPr>
              <w:t xml:space="preserve">100</w:t>
            </w:r>
            <w:r>
              <w:rPr>
                <w:rFonts w:ascii="Times New Roman" w:eastAsia="仿宋_GB2312" w:hAnsi="Times New Roman" w:cs="Times New Roman" w:hint="default"/>
                <w:b/>
                <w:bCs/>
                <w:color w:val="000000"/>
                <w:kern w:val="0"/>
                <w:sz w:val="18"/>
                <w:szCs w:val="18"/>
              </w:rPr>
              <w:fldChar w:fldCharType="end"/>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yellow"/>
                <w:lang w:val="en-US" w:eastAsia="zh-CN"/>
              </w:rPr>
            </w:pPr>
            <w:r>
              <w:rPr>
                <w:rFonts w:eastAsia="仿宋_GB2312" w:cs="Times New Roman" w:hint="eastAsia"/>
                <w:b/>
                <w:bCs/>
                <w:color w:val="000000"/>
                <w:kern w:val="0"/>
                <w:sz w:val="18"/>
                <w:szCs w:val="18"/>
                <w:highlight w:val="none"/>
                <w:lang w:val="en-US" w:eastAsia="zh-CN"/>
              </w:rPr>
              <w:t xml:space="preserve">97</w:t>
            </w:r>
          </w:p>
        </w:tc>
      </w:tr>
    </w:tbl>
    <w:p>
      <w:pPr>
        <w:rPr>
          <w:rFonts w:ascii="Times New Roman" w:hAnsi="Times New Roman" w:cs="Times New Roman" w:hint="default"/>
        </w:rPr>
        <w:sectPr>
          <w:pgSz w:w="16838" w:h="11906" w:orient="landscape"/>
          <w:pgMar w:top="1800" w:right="1440" w:bottom="1558" w:left="1440" w:header="851" w:footer="992" w:gutter="0"/>
          <w:pgBorders/>
          <w:cols w:num="1" w:space="720">
            <w:col w:w="13958" w:space="720"/>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2</w:t>
      </w:r>
    </w:p>
    <w:tbl>
      <w:tblPr>
        <w:tblStyle w:val="NormalTable"/>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Look w:firstRow="0" w:lastRow="0" w:firstColumn="0" w:lastColumn="0" w:noHBand="1" w:noVBand="1"/>
      </w:tblPr>
      <w:tblGrid>
        <w:gridCol w:w="719"/>
        <w:gridCol w:w="750"/>
        <w:gridCol w:w="990"/>
        <w:gridCol w:w="900"/>
        <w:gridCol w:w="960"/>
        <w:gridCol w:w="720"/>
        <w:gridCol w:w="900"/>
        <w:gridCol w:w="1095"/>
        <w:gridCol w:w="960"/>
        <w:gridCol w:w="1095"/>
        <w:gridCol w:w="1080"/>
        <w:gridCol w:w="1275"/>
        <w:gridCol w:w="1515"/>
        <w:gridCol w:w="1140"/>
      </w:tblGrid>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405"/>
        </w:trPr>
        <w:tc>
          <w:tcPr>
            <w:tcW w:w="14099" w:type="dxa"/>
            <w:gridSpan w:val="14"/>
            <w:tcBorders>
              <w:top w:val="nil"/>
              <w:left w:val="nil"/>
              <w:bottom w:val="nil"/>
              <w:right w:val="nil"/>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rPr>
              <w:t xml:space="preserve">项目支出绩效自评表</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099" w:type="dxa"/>
            <w:gridSpan w:val="1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rPr>
              <w:t xml:space="preserve">(2024年度)</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69"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项目名称</w:t>
            </w:r>
          </w:p>
        </w:tc>
        <w:tc>
          <w:tcPr>
            <w:tcW w:w="12630" w:type="dxa"/>
            <w:gridSpan w:val="1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2024年彩票公益金项目(结转资金）</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69"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主管部门</w:t>
            </w:r>
          </w:p>
        </w:tc>
        <w:tc>
          <w:tcPr>
            <w:tcW w:w="4470" w:type="dxa"/>
            <w:gridSpan w:val="5"/>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裕民县文化广播电视和旅游局</w:t>
            </w:r>
          </w:p>
        </w:tc>
        <w:tc>
          <w:tcPr>
            <w:tcW w:w="205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实施单位</w:t>
            </w:r>
          </w:p>
        </w:tc>
        <w:tc>
          <w:tcPr>
            <w:tcW w:w="6105" w:type="dxa"/>
            <w:gridSpan w:val="5"/>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裕民县文化体育广播电视和旅游局</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69" w:type="dxa"/>
            <w:gridSpan w:val="2"/>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项目资金</w:t>
            </w:r>
            <w:r>
              <w:rPr>
                <w:rFonts w:ascii="宋体" w:eastAsia="宋体" w:hAnsi="宋体" w:cs="宋体" w:hint="eastAsia"/>
                <w:b/>
                <w:bCs/>
                <w:i w:val="0"/>
                <w:iCs w:val="0"/>
                <w:color w:val="000000"/>
                <w:kern w:val="0"/>
                <w:sz w:val="18"/>
                <w:szCs w:val="18"/>
                <w:u w:val="none"/>
                <w:lang w:val="en-US" w:eastAsia="zh-CN"/>
              </w:rPr>
              <w:br/>
            </w:r>
            <w:r>
              <w:rPr>
                <w:rFonts w:ascii="宋体" w:eastAsia="宋体" w:hAnsi="宋体" w:cs="宋体" w:hint="eastAsia"/>
                <w:b/>
                <w:bCs/>
                <w:i w:val="0"/>
                <w:iCs w:val="0"/>
                <w:color w:val="000000"/>
                <w:kern w:val="0"/>
                <w:sz w:val="18"/>
                <w:szCs w:val="18"/>
                <w:u w:val="none"/>
                <w:lang w:val="en-US" w:eastAsia="zh-CN"/>
              </w:rPr>
              <w:t xml:space="preserve">（万元）</w:t>
            </w:r>
          </w:p>
        </w:tc>
        <w:tc>
          <w:tcPr>
            <w:tcW w:w="1890"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年初预算数</w:t>
            </w:r>
          </w:p>
        </w:tc>
        <w:tc>
          <w:tcPr>
            <w:tcW w:w="162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全年预算数</w:t>
            </w:r>
          </w:p>
        </w:tc>
        <w:tc>
          <w:tcPr>
            <w:tcW w:w="205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全年执行数</w:t>
            </w:r>
          </w:p>
        </w:tc>
        <w:tc>
          <w:tcPr>
            <w:tcW w:w="217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分值</w:t>
            </w:r>
          </w:p>
        </w:tc>
        <w:tc>
          <w:tcPr>
            <w:tcW w:w="27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执行率</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得分</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69"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8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年度资金总额</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33.82</w:t>
            </w:r>
          </w:p>
        </w:tc>
        <w:tc>
          <w:tcPr>
            <w:tcW w:w="162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298.23</w:t>
            </w:r>
          </w:p>
        </w:tc>
        <w:tc>
          <w:tcPr>
            <w:tcW w:w="205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227.85</w:t>
            </w:r>
          </w:p>
        </w:tc>
        <w:tc>
          <w:tcPr>
            <w:tcW w:w="217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7.64</w:t>
            </w:r>
          </w:p>
        </w:tc>
        <w:tc>
          <w:tcPr>
            <w:tcW w:w="27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76.40%</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7.64</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69"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8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其中：当年财政拨款</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33.82</w:t>
            </w:r>
          </w:p>
        </w:tc>
        <w:tc>
          <w:tcPr>
            <w:tcW w:w="162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298.23</w:t>
            </w:r>
          </w:p>
        </w:tc>
        <w:tc>
          <w:tcPr>
            <w:tcW w:w="205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227.85</w:t>
            </w:r>
          </w:p>
        </w:tc>
        <w:tc>
          <w:tcPr>
            <w:tcW w:w="217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7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1469"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8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  其他资金</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162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205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2175"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279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年度总体目标</w:t>
            </w:r>
          </w:p>
        </w:tc>
        <w:tc>
          <w:tcPr>
            <w:tcW w:w="5220" w:type="dxa"/>
            <w:gridSpan w:val="6"/>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预期目标</w:t>
            </w:r>
          </w:p>
        </w:tc>
        <w:tc>
          <w:tcPr>
            <w:tcW w:w="8160" w:type="dxa"/>
            <w:gridSpan w:val="7"/>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实际完成情况</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17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5220" w:type="dxa"/>
            <w:gridSpan w:val="6"/>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2024年彩票公益金项目(结转资金）主要用于开展滑冰项目3场次、新建多功能场地1处。通过项目 实施，进一步加快了我县综合文化服务中心的建设，促进服务群众能力进一步的增强。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c>
          <w:tcPr>
            <w:tcW w:w="8160" w:type="dxa"/>
            <w:gridSpan w:val="7"/>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彩票公益金项目(结转资金）开展滑冰项目3场次、新建多功能场地1处。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270"/>
        </w:trPr>
        <w:tc>
          <w:tcPr>
            <w:tcW w:w="719" w:type="dxa"/>
            <w:vMerge w:val="restart"/>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5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一级指标</w:t>
            </w:r>
          </w:p>
        </w:tc>
        <w:tc>
          <w:tcPr>
            <w:tcW w:w="99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二级指标</w:t>
            </w:r>
          </w:p>
        </w:tc>
        <w:tc>
          <w:tcPr>
            <w:tcW w:w="90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三级指标</w:t>
            </w:r>
          </w:p>
        </w:tc>
        <w:tc>
          <w:tcPr>
            <w:tcW w:w="96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权重</w:t>
            </w:r>
          </w:p>
        </w:tc>
        <w:tc>
          <w:tcPr>
            <w:tcW w:w="72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目标值</w:t>
            </w:r>
          </w:p>
        </w:tc>
        <w:tc>
          <w:tcPr>
            <w:tcW w:w="90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业绩值</w:t>
            </w:r>
          </w:p>
        </w:tc>
        <w:tc>
          <w:tcPr>
            <w:tcW w:w="1095"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完成率</w:t>
            </w:r>
          </w:p>
        </w:tc>
        <w:tc>
          <w:tcPr>
            <w:tcW w:w="96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指标得分</w:t>
            </w:r>
          </w:p>
        </w:tc>
        <w:tc>
          <w:tcPr>
            <w:tcW w:w="1095"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指标值设定依据</w:t>
            </w:r>
          </w:p>
        </w:tc>
        <w:tc>
          <w:tcPr>
            <w:tcW w:w="108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上年完成情况</w:t>
            </w:r>
          </w:p>
        </w:tc>
        <w:tc>
          <w:tcPr>
            <w:tcW w:w="1275"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赋分规则</w:t>
            </w:r>
          </w:p>
        </w:tc>
        <w:tc>
          <w:tcPr>
            <w:tcW w:w="1515"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佐证资料</w:t>
            </w:r>
          </w:p>
        </w:tc>
        <w:tc>
          <w:tcPr>
            <w:tcW w:w="114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偏差原因分析及改进措施</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27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9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0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6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2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0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095"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6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095"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08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275"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515"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14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年度绩效指标完成情况</w:t>
            </w:r>
          </w:p>
        </w:tc>
        <w:tc>
          <w:tcPr>
            <w:tcW w:w="75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产出指标</w:t>
            </w: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数量指标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开展滑冰项目场次</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&gt;=3场次</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3场次</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0场次</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数量指标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新建多功能场地</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=1处</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1处</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1处</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质量指标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项目建设合格率</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76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时效指标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资金支付及时率</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2023年12月20日</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原因：项目已完工，正在评审中。整改措施：待评审结束后及时进行资金支付。</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46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成本指标</w:t>
            </w: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办公活动经费</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&lt;=48万元</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48万元</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74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其他体育项目投入</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&lt;=50.23万元</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26.95万元</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53.65</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3.76</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预算支出标准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79.3万元</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原因：项目正在质保期。整改措施：待质保结束后及时进行资金支付。</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66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小型体育公园建设</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&lt;=200万元</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152.9万元</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76.5</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5.36</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原因：项目已完工，正在评审中。整改措施：待评审结束后及时进行资金支付。</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社会成本指标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2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8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51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生态环境成本指标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2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8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51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效益指标</w:t>
            </w: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经济效益指标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2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8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51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122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社会效益指标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完善基层体育场地建设</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有所完善</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有所完善</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14</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其他标准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达到年度指标</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按评判等级赋分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原因：项目完工较晚，效益体现不明显。整改措施：待项目正式投入后，完成效益指标。</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生态效益指标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2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8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51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515"/>
        </w:trPr>
        <w:tc>
          <w:tcPr>
            <w:tcW w:w="71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5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满意度指标</w:t>
            </w:r>
          </w:p>
        </w:tc>
        <w:tc>
          <w:tcPr>
            <w:tcW w:w="99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满意度指标</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群众满意度</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72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&gt;=90%</w:t>
            </w:r>
          </w:p>
        </w:tc>
        <w:tc>
          <w:tcPr>
            <w:tcW w:w="90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hAnsi="宋体" w:cs="宋体" w:hint="eastAsia"/>
                <w:i w:val="0"/>
                <w:iCs w:val="0"/>
                <w:color w:val="000000"/>
                <w:kern w:val="0"/>
                <w:sz w:val="18"/>
                <w:szCs w:val="18"/>
                <w:u w:val="none"/>
                <w:lang w:val="en-US" w:eastAsia="zh-CN"/>
              </w:rPr>
              <w:t xml:space="preserve">90</w:t>
            </w:r>
            <w:r>
              <w:rPr>
                <w:rFonts w:ascii="宋体" w:eastAsia="宋体" w:hAnsi="宋体" w:cs="宋体" w:hint="eastAsia"/>
                <w:i w:val="0"/>
                <w:iCs w:val="0"/>
                <w:color w:val="000000"/>
                <w:kern w:val="0"/>
                <w:sz w:val="18"/>
                <w:szCs w:val="18"/>
                <w:u w:val="none"/>
                <w:lang w:val="en-US" w:eastAsia="zh-CN"/>
              </w:rPr>
              <w:t xml:space="preserve">%</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default"/>
                <w:i w:val="0"/>
                <w:iCs w:val="0"/>
                <w:color w:val="000000"/>
                <w:sz w:val="18"/>
                <w:szCs w:val="18"/>
                <w:u w:val="none"/>
                <w:lang w:val="en-US"/>
              </w:rPr>
            </w:pPr>
            <w:r>
              <w:rPr>
                <w:rFonts w:ascii="宋体" w:hAnsi="宋体" w:cs="宋体" w:hint="eastAsia"/>
                <w:i w:val="0"/>
                <w:iCs w:val="0"/>
                <w:color w:val="000000"/>
                <w:kern w:val="0"/>
                <w:sz w:val="18"/>
                <w:szCs w:val="18"/>
                <w:u w:val="none"/>
                <w:lang w:val="en-US" w:eastAsia="zh-CN"/>
              </w:rPr>
              <w:t xml:space="preserve">100</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default"/>
                <w:i w:val="0"/>
                <w:iCs w:val="0"/>
                <w:color w:val="000000"/>
                <w:sz w:val="18"/>
                <w:szCs w:val="18"/>
                <w:u w:val="none"/>
                <w:lang w:val="en-US"/>
              </w:rPr>
            </w:pPr>
            <w:r>
              <w:rPr>
                <w:rFonts w:ascii="宋体" w:hAnsi="宋体" w:cs="宋体" w:hint="eastAsia"/>
                <w:i w:val="0"/>
                <w:iCs w:val="0"/>
                <w:color w:val="000000"/>
                <w:kern w:val="0"/>
                <w:sz w:val="18"/>
                <w:szCs w:val="18"/>
                <w:u w:val="none"/>
                <w:lang w:val="en-US" w:eastAsia="zh-CN"/>
              </w:rPr>
              <w:t xml:space="preserve">10</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108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90%</w:t>
            </w:r>
          </w:p>
        </w:tc>
        <w:tc>
          <w:tcPr>
            <w:tcW w:w="127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满意度赋分</w:t>
            </w:r>
          </w:p>
        </w:tc>
        <w:tc>
          <w:tcPr>
            <w:tcW w:w="151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114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原因：项目完工较晚，未完全实现群众满意度。整改措施：待项目投入使用后实现群众满意度。</w:t>
            </w: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480"/>
        </w:trPr>
        <w:tc>
          <w:tcPr>
            <w:tcW w:w="71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5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2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8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51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3359" w:type="dxa"/>
            <w:gridSpan w:val="4"/>
            <w:tcBorders>
              <w:top w:val="single" w:sz="4" w:space="0" w:color="auto"/>
              <w:left w:val="single" w:sz="4" w:space="0" w:color="auto"/>
              <w:bottom w:val="single" w:sz="4" w:space="0" w:color="auto"/>
              <w:right w:val="nil"/>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总分</w:t>
            </w: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720" w:type="dxa"/>
            <w:tcBorders>
              <w:top w:val="single" w:sz="4" w:space="0" w:color="auto"/>
              <w:left w:val="nil"/>
              <w:bottom w:val="single" w:sz="4" w:space="0" w:color="auto"/>
              <w:right w:val="single" w:sz="4" w:space="0" w:color="auto"/>
            </w:tcBorders>
            <w:noWrap w:val="0"/>
            <w:vAlign w:val="center"/>
          </w:tcPr>
          <w:p>
            <w:pPr>
              <w:rPr>
                <w:rFonts w:ascii="宋体" w:eastAsia="宋体" w:hAnsi="宋体" w:cs="宋体" w:hint="eastAsia"/>
                <w:b/>
                <w:bCs/>
                <w:i w:val="0"/>
                <w:iCs w:val="0"/>
                <w:color w:val="000000"/>
                <w:sz w:val="18"/>
                <w:szCs w:val="18"/>
                <w:u w:val="none"/>
              </w:rPr>
            </w:pPr>
          </w:p>
        </w:tc>
        <w:tc>
          <w:tcPr>
            <w:tcW w:w="900"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109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60"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r>
              <w:rPr>
                <w:rFonts w:ascii="宋体" w:hAnsi="宋体" w:cs="宋体" w:hint="eastAsia"/>
                <w:i w:val="0"/>
                <w:iCs w:val="0"/>
                <w:color w:val="000000"/>
                <w:kern w:val="0"/>
                <w:sz w:val="18"/>
                <w:szCs w:val="18"/>
                <w:u w:val="none"/>
                <w:lang w:val="en-US" w:eastAsia="zh-CN"/>
              </w:rPr>
              <w:t xml:space="preserve">6</w:t>
            </w:r>
            <w:r>
              <w:rPr>
                <w:rFonts w:ascii="宋体" w:eastAsia="宋体" w:hAnsi="宋体" w:cs="宋体" w:hint="eastAsia"/>
                <w:i w:val="0"/>
                <w:iCs w:val="0"/>
                <w:color w:val="000000"/>
                <w:kern w:val="0"/>
                <w:sz w:val="18"/>
                <w:szCs w:val="18"/>
                <w:u w:val="none"/>
                <w:lang w:val="en-US" w:eastAsia="zh-CN"/>
              </w:rPr>
              <w:t xml:space="preserve">.76分</w:t>
            </w:r>
          </w:p>
        </w:tc>
        <w:tc>
          <w:tcPr>
            <w:tcW w:w="1095"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1080"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1275"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1515"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r>
      <w:tr>
        <w:tblPrEx>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270"/>
        </w:trPr>
        <w:tc>
          <w:tcPr>
            <w:tcW w:w="1469" w:type="dxa"/>
            <w:gridSpan w:val="2"/>
            <w:tcBorders>
              <w:top w:val="single" w:sz="4" w:space="0" w:color="auto"/>
              <w:left w:val="nil"/>
              <w:bottom w:val="nil"/>
              <w:right w:val="nil"/>
            </w:tcBorders>
            <w:noWrap w:val="0"/>
            <w:vAlign w:val="center"/>
          </w:tcPr>
          <w:p>
            <w:pPr>
              <w:jc w:val="right"/>
              <w:rPr>
                <w:rFonts w:ascii="宋体" w:eastAsia="宋体" w:hAnsi="宋体" w:cs="宋体" w:hint="eastAsia"/>
                <w:i w:val="0"/>
                <w:iCs w:val="0"/>
                <w:color w:val="000000"/>
                <w:sz w:val="20"/>
                <w:szCs w:val="20"/>
                <w:u w:val="none"/>
              </w:rPr>
            </w:pPr>
          </w:p>
        </w:tc>
        <w:tc>
          <w:tcPr>
            <w:tcW w:w="2850" w:type="dxa"/>
            <w:gridSpan w:val="3"/>
            <w:tcBorders>
              <w:top w:val="single" w:sz="4" w:space="0" w:color="auto"/>
              <w:left w:val="nil"/>
              <w:bottom w:val="nil"/>
              <w:right w:val="nil"/>
            </w:tcBorders>
            <w:noWrap w:val="0"/>
            <w:vAlign w:val="center"/>
          </w:tcPr>
          <w:p>
            <w:pPr>
              <w:jc w:val="left"/>
              <w:rPr>
                <w:rFonts w:ascii="宋体" w:eastAsia="宋体" w:hAnsi="宋体" w:cs="宋体" w:hint="eastAsia"/>
                <w:i w:val="0"/>
                <w:iCs w:val="0"/>
                <w:color w:val="000000"/>
                <w:sz w:val="20"/>
                <w:szCs w:val="20"/>
                <w:u w:val="none"/>
              </w:rPr>
            </w:pPr>
          </w:p>
        </w:tc>
        <w:tc>
          <w:tcPr>
            <w:tcW w:w="3675" w:type="dxa"/>
            <w:gridSpan w:val="4"/>
            <w:tcBorders>
              <w:top w:val="single" w:sz="4" w:space="0" w:color="auto"/>
              <w:left w:val="nil"/>
              <w:bottom w:val="nil"/>
              <w:right w:val="nil"/>
            </w:tcBorders>
            <w:noWrap w:val="0"/>
            <w:vAlign w:val="center"/>
          </w:tcPr>
          <w:p>
            <w:pPr>
              <w:jc w:val="right"/>
              <w:rPr>
                <w:rFonts w:ascii="宋体" w:eastAsia="宋体" w:hAnsi="宋体" w:cs="宋体" w:hint="eastAsia"/>
                <w:i w:val="0"/>
                <w:iCs w:val="0"/>
                <w:color w:val="000000"/>
                <w:sz w:val="20"/>
                <w:szCs w:val="20"/>
                <w:u w:val="none"/>
              </w:rPr>
            </w:pPr>
          </w:p>
        </w:tc>
        <w:tc>
          <w:tcPr>
            <w:tcW w:w="6105" w:type="dxa"/>
            <w:gridSpan w:val="5"/>
            <w:tcBorders>
              <w:top w:val="single" w:sz="4" w:space="0" w:color="auto"/>
              <w:left w:val="nil"/>
              <w:bottom w:val="nil"/>
              <w:right w:val="nil"/>
            </w:tcBorders>
            <w:noWrap w:val="0"/>
            <w:vAlign w:val="center"/>
          </w:tcPr>
          <w:p>
            <w:pPr>
              <w:jc w:val="left"/>
              <w:rPr>
                <w:rFonts w:ascii="宋体" w:eastAsia="宋体" w:hAnsi="宋体" w:cs="宋体" w:hint="eastAsia"/>
                <w:i w:val="0"/>
                <w:iCs w:val="0"/>
                <w:color w:val="000000"/>
                <w:sz w:val="20"/>
                <w:szCs w:val="20"/>
                <w:u w:val="none"/>
              </w:rPr>
            </w:pPr>
          </w:p>
        </w:tc>
      </w:tr>
    </w:tbl>
    <w:p>
      <w:pPr>
        <w:rPr>
          <w:rFonts w:ascii="Times New Roman" w:hAnsi="Times New Roman" w:cs="Times New Roman" w:hint="default"/>
        </w:rPr>
      </w:pPr>
    </w:p>
    <w:p>
      <w:pPr>
        <w:rPr>
          <w:rFonts w:eastAsia="宋体" w:hint="eastAsia"/>
          <w:lang w:eastAsia="zh-CN"/>
        </w:rPr>
      </w:pPr>
      <w:r>
        <w:rPr>
          <w:rFonts w:eastAsia="宋体" w:hint="eastAsia"/>
          <w:lang w:eastAsia="zh-CN"/>
        </w:rPr>
        <w:object>
          <v:shape id="_x0000_i1027" type="#_x0000_t75" style="width:414.35pt;height:15.7pt" o:oleicon="f" o:ole="" coordsize="21600,21600" o:preferrelative="t" filled="f" stroked="f">
            <v:imagedata r:id="rId7" o:title=""/>
            <o:lock v:ext="edit" aspectratio="t"/>
            <w10:anchorlock/>
          </v:shape>
          <o:OLEObject Type="Embed" ProgID="Word.Document.8" ShapeID="_x0000_i1027" DrawAspect="Content" ObjectID="_1468075726" r:id="rId8"/>
        </w:object>
      </w:r>
    </w:p>
    <w:sectPr>
      <w:pgSz w:w="11906" w:h="16838" w:orient="portrait"/>
      <w:pgMar w:top="1440" w:right="1800" w:bottom="1440" w:left="1800" w:header="851" w:footer="992" w:gutter="0"/>
      <w:pgBorders/>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jc w:val="center"/>
    </w:pPr>
    <w:r>
      <w:fldChar w:fldCharType="begin"/>
    </w:r>
    <w:r>
      <w:instrText xml:space="preserve">PAGE   \* MERGEFORMAT</w:instrText>
    </w:r>
    <w:r>
      <w:fldChar w:fldCharType="separate"/>
    </w:r>
    <w:r>
      <w:rPr>
        <w:lang w:val="zh-CN"/>
      </w:rPr>
      <w:t xml:space="preserve">13</w:t>
    </w:r>
    <w:r>
      <w:fldChar w:fldCharType="end"/>
    </w:r>
  </w:p>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tab"/>
      <w:lvlText w:val="%1."/>
      <w:lvlJc w:val="left"/>
      <w:pPr>
        <w:tabs>
          <w:tab w:val="left" w:pos="312"/>
        </w:tabs>
      </w:pPr>
      <w:rPr/>
    </w:lvl>
  </w:abstractNum>
  <w:abstractNum w:abstractNumId="3">
    <w:multiLevelType w:val="singleLevel"/>
    <w:lvl w:ilvl="0">
      <w:start w:val="2"/>
      <w:numFmt w:val="decimal"/>
      <w:suff w:val="tab"/>
      <w:lvlText w:val="%1."/>
      <w:lvlJc w:val="left"/>
      <w:pPr>
        <w:tabs>
          <w:tab w:val="left" w:pos="312"/>
        </w:tabs>
      </w:pPr>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2"/>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3"/>
      <w:numFmt w:val="chineseCounting"/>
      <w:suff w:val="nothing"/>
      <w:lvlText w:val="（%1）"/>
      <w:lvlJc w:val="left"/>
      <w:rPr>
        <w:rFonts w:hint="eastAsia"/>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b/>
      <w:bCs/>
      <w:kern w:val="28"/>
      <w:sz w:val="32"/>
      <w:szCs w:val="32"/>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styles" Target="styles.xml"/><Relationship Id="rId11" Type="http://schemas.openxmlformats.org/officeDocument/2006/relationships/webSettings" Target="webSetting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image" Target="media/image1.emf"/><Relationship Id="rId4" Type="http://schemas.openxmlformats.org/officeDocument/2006/relationships/oleObject" Target="embeddings/oleObject1.doc"/><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image" Target="media/image3.emf"/><Relationship Id="rId8" Type="http://schemas.openxmlformats.org/officeDocument/2006/relationships/oleObject" Target="embeddings/oleObject2.doc"/><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848E1B43658A4C28BA11117BF8985B51_13</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1</Pages>
  <Words>0</Words>
  <Characters>0</Characters>
  <Application>WPS Office_12.1.0.15120_F1E327BC-269C-435d-A152-05C5408002CA</Application>
  <DocSecurity>0</DocSecurity>
  <Lines>0</Lines>
  <Paragraphs>0</Paragraphs>
  <CharactersWithSpaces>0</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郭子歪</cp:lastModifiedBy>
  <cp:revision>1</cp:revision>
  <dcterms:created xsi:type="dcterms:W3CDTF">2025-07-30T09:40:53Z</dcterms:created>
  <dcterms:modified xsi:type="dcterms:W3CDTF">2025-09-19T02:11:47Z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848E1B43658A4C28BA11117BF8985B51_13</vt:lpwstr>
  </property>
</Properties>
</file>